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A35B3" w14:textId="77777777" w:rsidR="00466825" w:rsidRDefault="00466825">
      <w:pPr>
        <w:pStyle w:val="a4"/>
        <w:ind w:firstLineChars="0" w:firstLine="0"/>
      </w:pPr>
      <w:bookmarkStart w:id="0" w:name="_GoBack"/>
      <w:bookmarkEnd w:id="0"/>
    </w:p>
    <w:p w14:paraId="27BAEB65" w14:textId="77777777" w:rsidR="00466825" w:rsidRDefault="00467463">
      <w:pPr>
        <w:pStyle w:val="a4"/>
        <w:ind w:firstLineChars="0" w:firstLine="0"/>
      </w:pPr>
      <w:r>
        <w:rPr>
          <w:rFonts w:hint="eastAsia"/>
        </w:rPr>
        <w:t>评分标准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014"/>
        <w:gridCol w:w="659"/>
        <w:gridCol w:w="5963"/>
      </w:tblGrid>
      <w:tr w:rsidR="00924B60" w14:paraId="04C9B78A" w14:textId="77777777" w:rsidTr="007B69FB">
        <w:trPr>
          <w:trHeight w:val="645"/>
        </w:trPr>
        <w:tc>
          <w:tcPr>
            <w:tcW w:w="1113" w:type="pct"/>
            <w:gridSpan w:val="2"/>
            <w:tcBorders>
              <w:top w:val="single" w:sz="4" w:space="0" w:color="auto"/>
              <w:left w:val="single" w:sz="4" w:space="0" w:color="auto"/>
              <w:bottom w:val="single" w:sz="4" w:space="0" w:color="auto"/>
              <w:right w:val="single" w:sz="4" w:space="0" w:color="auto"/>
            </w:tcBorders>
            <w:shd w:val="clear" w:color="auto" w:fill="EEECE1"/>
            <w:vAlign w:val="center"/>
          </w:tcPr>
          <w:p w14:paraId="088E9F23"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项目</w:t>
            </w:r>
          </w:p>
        </w:tc>
        <w:tc>
          <w:tcPr>
            <w:tcW w:w="387" w:type="pct"/>
            <w:tcBorders>
              <w:top w:val="single" w:sz="4" w:space="0" w:color="auto"/>
              <w:left w:val="single" w:sz="4" w:space="0" w:color="auto"/>
              <w:bottom w:val="single" w:sz="4" w:space="0" w:color="auto"/>
              <w:right w:val="single" w:sz="4" w:space="0" w:color="auto"/>
            </w:tcBorders>
            <w:shd w:val="clear" w:color="auto" w:fill="EEECE1"/>
            <w:vAlign w:val="center"/>
          </w:tcPr>
          <w:p w14:paraId="627BB3B1"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分值</w:t>
            </w:r>
          </w:p>
        </w:tc>
        <w:tc>
          <w:tcPr>
            <w:tcW w:w="3498" w:type="pct"/>
            <w:tcBorders>
              <w:top w:val="single" w:sz="4" w:space="0" w:color="auto"/>
              <w:left w:val="single" w:sz="4" w:space="0" w:color="auto"/>
              <w:bottom w:val="single" w:sz="4" w:space="0" w:color="auto"/>
              <w:right w:val="single" w:sz="4" w:space="0" w:color="auto"/>
            </w:tcBorders>
            <w:shd w:val="clear" w:color="auto" w:fill="EEECE1"/>
            <w:vAlign w:val="center"/>
          </w:tcPr>
          <w:p w14:paraId="3EA96D0F"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评分标准</w:t>
            </w:r>
          </w:p>
        </w:tc>
      </w:tr>
      <w:tr w:rsidR="00924B60" w14:paraId="2F46A6F7" w14:textId="77777777" w:rsidTr="007B69FB">
        <w:trPr>
          <w:trHeight w:val="979"/>
        </w:trPr>
        <w:tc>
          <w:tcPr>
            <w:tcW w:w="518" w:type="pct"/>
            <w:tcBorders>
              <w:top w:val="single" w:sz="4" w:space="0" w:color="auto"/>
              <w:left w:val="single" w:sz="4" w:space="0" w:color="auto"/>
              <w:bottom w:val="single" w:sz="4" w:space="0" w:color="auto"/>
              <w:right w:val="single" w:sz="4" w:space="0" w:color="auto"/>
            </w:tcBorders>
            <w:vAlign w:val="center"/>
          </w:tcPr>
          <w:p w14:paraId="4992C980"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价格35分</w:t>
            </w:r>
          </w:p>
        </w:tc>
        <w:tc>
          <w:tcPr>
            <w:tcW w:w="595" w:type="pct"/>
            <w:tcBorders>
              <w:top w:val="single" w:sz="4" w:space="0" w:color="auto"/>
              <w:left w:val="single" w:sz="4" w:space="0" w:color="auto"/>
              <w:bottom w:val="single" w:sz="4" w:space="0" w:color="auto"/>
              <w:right w:val="single" w:sz="4" w:space="0" w:color="auto"/>
            </w:tcBorders>
            <w:vAlign w:val="center"/>
          </w:tcPr>
          <w:p w14:paraId="1F491F53"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投标报价</w:t>
            </w:r>
          </w:p>
        </w:tc>
        <w:tc>
          <w:tcPr>
            <w:tcW w:w="387" w:type="pct"/>
            <w:tcBorders>
              <w:top w:val="single" w:sz="4" w:space="0" w:color="auto"/>
              <w:left w:val="single" w:sz="4" w:space="0" w:color="auto"/>
              <w:bottom w:val="single" w:sz="4" w:space="0" w:color="auto"/>
              <w:right w:val="single" w:sz="4" w:space="0" w:color="auto"/>
            </w:tcBorders>
            <w:vAlign w:val="center"/>
          </w:tcPr>
          <w:p w14:paraId="5343753D"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35</w:t>
            </w:r>
          </w:p>
        </w:tc>
        <w:tc>
          <w:tcPr>
            <w:tcW w:w="3498" w:type="pct"/>
            <w:tcBorders>
              <w:top w:val="single" w:sz="4" w:space="0" w:color="auto"/>
              <w:left w:val="single" w:sz="4" w:space="0" w:color="auto"/>
              <w:bottom w:val="single" w:sz="4" w:space="0" w:color="auto"/>
              <w:right w:val="single" w:sz="4" w:space="0" w:color="auto"/>
            </w:tcBorders>
            <w:vAlign w:val="center"/>
          </w:tcPr>
          <w:p w14:paraId="5DF586F1" w14:textId="77777777" w:rsidR="00924B60" w:rsidRDefault="00924B60" w:rsidP="007B69FB">
            <w:pPr>
              <w:adjustRightInd w:val="0"/>
              <w:snapToGrid w:val="0"/>
              <w:spacing w:line="320" w:lineRule="exact"/>
              <w:rPr>
                <w:rFonts w:ascii="宋体" w:hAnsi="宋体" w:cs="宋体"/>
                <w:sz w:val="20"/>
                <w:szCs w:val="20"/>
                <w:lang w:val="zh-CN"/>
              </w:rPr>
            </w:pPr>
            <w:r>
              <w:rPr>
                <w:rFonts w:ascii="宋体" w:hAnsi="宋体" w:cs="宋体" w:hint="eastAsia"/>
                <w:sz w:val="20"/>
                <w:szCs w:val="20"/>
                <w:lang w:val="zh-CN"/>
              </w:rPr>
              <w:t>该项统一采用低价优先法，即满足招标文件要求且投标价格最低的投标；报价为评标基准价，其价格满分为35分。其他投标供应商的价格分统一按照下列公式计算：投标报价得分＝（评标基准价/投标报价）×35％×100；</w:t>
            </w:r>
          </w:p>
        </w:tc>
      </w:tr>
      <w:tr w:rsidR="00924B60" w14:paraId="3179041A" w14:textId="77777777" w:rsidTr="007B69FB">
        <w:trPr>
          <w:trHeight w:val="979"/>
        </w:trPr>
        <w:tc>
          <w:tcPr>
            <w:tcW w:w="518" w:type="pct"/>
            <w:vMerge w:val="restart"/>
            <w:tcBorders>
              <w:top w:val="single" w:sz="4" w:space="0" w:color="auto"/>
              <w:left w:val="single" w:sz="4" w:space="0" w:color="auto"/>
              <w:right w:val="single" w:sz="4" w:space="0" w:color="auto"/>
            </w:tcBorders>
            <w:vAlign w:val="center"/>
          </w:tcPr>
          <w:p w14:paraId="44801C49"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b/>
                <w:sz w:val="20"/>
                <w:szCs w:val="20"/>
                <w:lang w:val="zh-CN"/>
              </w:rPr>
              <w:t>技术部分4</w:t>
            </w:r>
            <w:r>
              <w:rPr>
                <w:rFonts w:ascii="宋体" w:hAnsi="宋体" w:cs="宋体" w:hint="eastAsia"/>
                <w:b/>
                <w:sz w:val="20"/>
                <w:szCs w:val="20"/>
              </w:rPr>
              <w:t>5</w:t>
            </w:r>
            <w:r>
              <w:rPr>
                <w:rFonts w:ascii="宋体" w:hAnsi="宋体" w:cs="宋体" w:hint="eastAsia"/>
                <w:b/>
                <w:sz w:val="20"/>
                <w:szCs w:val="20"/>
                <w:lang w:val="zh-CN"/>
              </w:rPr>
              <w:t>分</w:t>
            </w:r>
          </w:p>
        </w:tc>
        <w:tc>
          <w:tcPr>
            <w:tcW w:w="595" w:type="pct"/>
            <w:tcBorders>
              <w:top w:val="single" w:sz="4" w:space="0" w:color="auto"/>
              <w:left w:val="single" w:sz="4" w:space="0" w:color="auto"/>
              <w:bottom w:val="single" w:sz="4" w:space="0" w:color="auto"/>
              <w:right w:val="single" w:sz="4" w:space="0" w:color="auto"/>
            </w:tcBorders>
            <w:vAlign w:val="center"/>
          </w:tcPr>
          <w:p w14:paraId="01C9EC19" w14:textId="77777777" w:rsidR="00924B60" w:rsidRDefault="00924B60" w:rsidP="007B69FB">
            <w:pPr>
              <w:pStyle w:val="aa"/>
              <w:jc w:val="center"/>
              <w:rPr>
                <w:rFonts w:ascii="宋体" w:hAnsi="宋体" w:cs="宋体"/>
                <w:kern w:val="0"/>
                <w:sz w:val="20"/>
                <w:szCs w:val="20"/>
                <w:lang w:val="zh-CN"/>
              </w:rPr>
            </w:pPr>
            <w:r>
              <w:rPr>
                <w:rFonts w:ascii="宋体" w:hAnsi="宋体" w:cs="宋体" w:hint="eastAsia"/>
                <w:kern w:val="0"/>
                <w:sz w:val="20"/>
                <w:szCs w:val="20"/>
                <w:lang w:val="zh-CN"/>
              </w:rPr>
              <w:t>技术响应</w:t>
            </w:r>
          </w:p>
        </w:tc>
        <w:tc>
          <w:tcPr>
            <w:tcW w:w="387" w:type="pct"/>
            <w:tcBorders>
              <w:top w:val="single" w:sz="4" w:space="0" w:color="auto"/>
              <w:left w:val="single" w:sz="4" w:space="0" w:color="auto"/>
              <w:bottom w:val="single" w:sz="4" w:space="0" w:color="auto"/>
              <w:right w:val="single" w:sz="4" w:space="0" w:color="auto"/>
            </w:tcBorders>
            <w:vAlign w:val="center"/>
          </w:tcPr>
          <w:p w14:paraId="3A732AD0"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35</w:t>
            </w:r>
          </w:p>
        </w:tc>
        <w:tc>
          <w:tcPr>
            <w:tcW w:w="3498" w:type="pct"/>
            <w:tcBorders>
              <w:top w:val="single" w:sz="4" w:space="0" w:color="auto"/>
              <w:left w:val="single" w:sz="4" w:space="0" w:color="auto"/>
              <w:bottom w:val="single" w:sz="4" w:space="0" w:color="auto"/>
              <w:right w:val="single" w:sz="4" w:space="0" w:color="auto"/>
            </w:tcBorders>
            <w:vAlign w:val="center"/>
          </w:tcPr>
          <w:p w14:paraId="6F3E3C16" w14:textId="77777777" w:rsidR="00924B60" w:rsidRDefault="00924B60" w:rsidP="00924B60">
            <w:pPr>
              <w:pStyle w:val="a9"/>
              <w:numPr>
                <w:ilvl w:val="0"/>
                <w:numId w:val="2"/>
              </w:numPr>
              <w:adjustRightInd w:val="0"/>
              <w:snapToGrid w:val="0"/>
              <w:spacing w:line="320" w:lineRule="exact"/>
              <w:ind w:left="1140" w:firstLineChars="0"/>
              <w:rPr>
                <w:rFonts w:ascii="宋体" w:hAnsi="宋体" w:cs="宋体"/>
                <w:sz w:val="20"/>
                <w:szCs w:val="20"/>
                <w:lang w:val="zh-CN"/>
              </w:rPr>
            </w:pPr>
            <w:r>
              <w:rPr>
                <w:rFonts w:ascii="宋体" w:hAnsi="宋体" w:cs="宋体" w:hint="eastAsia"/>
                <w:sz w:val="20"/>
                <w:szCs w:val="20"/>
                <w:lang w:val="zh-CN"/>
              </w:rPr>
              <w:t>投标文件没有货物说明一览表或技术规格、参数响应/偏离表的，不计分；技术指标要求提供证明的条款需根据要求提供相关证明材料，否则不予认定，视为不满足；</w:t>
            </w:r>
          </w:p>
          <w:p w14:paraId="4194169F" w14:textId="77777777" w:rsidR="00924B60" w:rsidRDefault="00924B60" w:rsidP="00924B60">
            <w:pPr>
              <w:pStyle w:val="a9"/>
              <w:numPr>
                <w:ilvl w:val="0"/>
                <w:numId w:val="2"/>
              </w:numPr>
              <w:adjustRightInd w:val="0"/>
              <w:snapToGrid w:val="0"/>
              <w:spacing w:line="320" w:lineRule="exact"/>
              <w:ind w:left="1140" w:firstLineChars="0"/>
              <w:rPr>
                <w:rFonts w:ascii="宋体" w:hAnsi="宋体" w:cs="宋体"/>
                <w:sz w:val="20"/>
                <w:szCs w:val="20"/>
                <w:lang w:val="zh-CN"/>
              </w:rPr>
            </w:pPr>
            <w:r>
              <w:rPr>
                <w:rFonts w:ascii="宋体" w:hAnsi="宋体" w:cs="宋体" w:hint="eastAsia"/>
                <w:sz w:val="20"/>
                <w:szCs w:val="20"/>
                <w:lang w:val="zh-CN"/>
              </w:rPr>
              <w:t>根据投标人所投产品技术参数及功能响应情况进行评分：所投产品技术参数及功能完全满足或优于招标文件要求的，得35分。1）带</w:t>
            </w:r>
            <w:r>
              <w:rPr>
                <w:rFonts w:ascii="宋体" w:hAnsi="宋体" w:cs="宋体" w:hint="eastAsia"/>
                <w:sz w:val="18"/>
                <w:szCs w:val="18"/>
              </w:rPr>
              <w:t>▲</w:t>
            </w:r>
            <w:r>
              <w:rPr>
                <w:rFonts w:ascii="宋体" w:hAnsi="宋体" w:cs="宋体" w:hint="eastAsia"/>
                <w:sz w:val="20"/>
                <w:szCs w:val="20"/>
                <w:lang w:val="zh-CN"/>
              </w:rPr>
              <w:t>号项，每有1项负偏离扣2分，扣完为止。</w:t>
            </w:r>
          </w:p>
          <w:p w14:paraId="6934AAB3" w14:textId="77777777" w:rsidR="00924B60" w:rsidRDefault="00924B60" w:rsidP="007B69FB">
            <w:pPr>
              <w:pStyle w:val="a9"/>
              <w:adjustRightInd w:val="0"/>
              <w:snapToGrid w:val="0"/>
              <w:spacing w:line="320" w:lineRule="exact"/>
              <w:ind w:left="420" w:firstLineChars="0" w:firstLine="0"/>
              <w:rPr>
                <w:rFonts w:ascii="宋体" w:hAnsi="宋体" w:cs="宋体"/>
                <w:sz w:val="20"/>
                <w:szCs w:val="20"/>
                <w:lang w:val="zh-CN"/>
              </w:rPr>
            </w:pPr>
            <w:r>
              <w:rPr>
                <w:rFonts w:ascii="宋体" w:hAnsi="宋体" w:cs="宋体" w:hint="eastAsia"/>
                <w:sz w:val="20"/>
                <w:szCs w:val="20"/>
                <w:lang w:val="zh-CN"/>
              </w:rPr>
              <w:t>3）未带</w:t>
            </w:r>
            <w:r>
              <w:rPr>
                <w:rFonts w:ascii="宋体" w:hAnsi="宋体" w:cs="宋体" w:hint="eastAsia"/>
                <w:sz w:val="18"/>
                <w:szCs w:val="18"/>
              </w:rPr>
              <w:t>▲</w:t>
            </w:r>
            <w:r>
              <w:rPr>
                <w:rFonts w:ascii="宋体" w:hAnsi="宋体" w:cs="宋体" w:hint="eastAsia"/>
                <w:sz w:val="20"/>
                <w:szCs w:val="20"/>
                <w:lang w:val="zh-CN"/>
              </w:rPr>
              <w:t>每有1项负偏离扣1分，扣完为止。</w:t>
            </w:r>
          </w:p>
          <w:p w14:paraId="2485862C" w14:textId="77777777" w:rsidR="00924B60" w:rsidRDefault="00924B60" w:rsidP="00924B60">
            <w:pPr>
              <w:pStyle w:val="a9"/>
              <w:numPr>
                <w:ilvl w:val="0"/>
                <w:numId w:val="2"/>
              </w:numPr>
              <w:adjustRightInd w:val="0"/>
              <w:snapToGrid w:val="0"/>
              <w:spacing w:line="320" w:lineRule="exact"/>
              <w:ind w:left="1140" w:firstLineChars="0"/>
              <w:rPr>
                <w:rFonts w:ascii="宋体" w:hAnsi="宋体" w:cs="宋体"/>
                <w:sz w:val="20"/>
                <w:szCs w:val="20"/>
                <w:lang w:val="zh-CN"/>
              </w:rPr>
            </w:pPr>
            <w:r>
              <w:rPr>
                <w:rFonts w:ascii="宋体" w:hAnsi="宋体" w:cs="宋体" w:hint="eastAsia"/>
                <w:sz w:val="20"/>
                <w:szCs w:val="20"/>
                <w:lang w:val="zh-CN"/>
              </w:rPr>
              <w:t>招标人有权要求中标供应商对投标产品功能参数进行逐项演示，如发现有与投标文件描述不符或弄虚作假行为，招标人有权取消该供应商中标资格，并由该供应商承担相应法律后果。</w:t>
            </w:r>
          </w:p>
        </w:tc>
      </w:tr>
      <w:tr w:rsidR="00924B60" w14:paraId="24CB9ECE" w14:textId="77777777" w:rsidTr="007B69FB">
        <w:trPr>
          <w:trHeight w:val="805"/>
        </w:trPr>
        <w:tc>
          <w:tcPr>
            <w:tcW w:w="518" w:type="pct"/>
            <w:vMerge/>
            <w:tcBorders>
              <w:left w:val="single" w:sz="4" w:space="0" w:color="auto"/>
              <w:right w:val="single" w:sz="4" w:space="0" w:color="auto"/>
            </w:tcBorders>
            <w:vAlign w:val="center"/>
          </w:tcPr>
          <w:p w14:paraId="0A9F232E"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tcBorders>
              <w:top w:val="single" w:sz="4" w:space="0" w:color="auto"/>
              <w:left w:val="single" w:sz="4" w:space="0" w:color="auto"/>
              <w:right w:val="single" w:sz="4" w:space="0" w:color="auto"/>
            </w:tcBorders>
            <w:vAlign w:val="center"/>
          </w:tcPr>
          <w:p w14:paraId="16154500"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整体方案</w:t>
            </w:r>
          </w:p>
          <w:p w14:paraId="4904C7B3"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w:t>
            </w:r>
            <w:r>
              <w:rPr>
                <w:rFonts w:ascii="宋体" w:hAnsi="宋体" w:cs="宋体" w:hint="eastAsia"/>
                <w:sz w:val="20"/>
                <w:szCs w:val="20"/>
              </w:rPr>
              <w:t>10</w:t>
            </w:r>
            <w:r>
              <w:rPr>
                <w:rFonts w:ascii="宋体" w:hAnsi="宋体" w:cs="宋体" w:hint="eastAsia"/>
                <w:sz w:val="20"/>
                <w:szCs w:val="20"/>
                <w:lang w:val="zh-CN"/>
              </w:rPr>
              <w:t>分）</w:t>
            </w:r>
          </w:p>
        </w:tc>
        <w:tc>
          <w:tcPr>
            <w:tcW w:w="387" w:type="pct"/>
            <w:tcBorders>
              <w:top w:val="single" w:sz="4" w:space="0" w:color="auto"/>
              <w:left w:val="single" w:sz="4" w:space="0" w:color="auto"/>
              <w:right w:val="single" w:sz="4" w:space="0" w:color="auto"/>
            </w:tcBorders>
            <w:vAlign w:val="center"/>
          </w:tcPr>
          <w:p w14:paraId="576DE86E"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10</w:t>
            </w:r>
          </w:p>
        </w:tc>
        <w:tc>
          <w:tcPr>
            <w:tcW w:w="3498" w:type="pct"/>
            <w:tcBorders>
              <w:top w:val="single" w:sz="4" w:space="0" w:color="auto"/>
              <w:left w:val="single" w:sz="4" w:space="0" w:color="auto"/>
              <w:right w:val="single" w:sz="4" w:space="0" w:color="auto"/>
            </w:tcBorders>
            <w:vAlign w:val="center"/>
          </w:tcPr>
          <w:p w14:paraId="2E7AABF6" w14:textId="77777777" w:rsidR="00924B60" w:rsidRDefault="00924B60" w:rsidP="007B69FB">
            <w:pPr>
              <w:widowControl/>
              <w:spacing w:beforeLines="50" w:before="156" w:afterLines="50" w:after="156" w:line="276" w:lineRule="auto"/>
              <w:jc w:val="left"/>
              <w:rPr>
                <w:rFonts w:ascii="宋体" w:hAnsi="宋体" w:cs="宋体"/>
                <w:sz w:val="20"/>
                <w:szCs w:val="20"/>
              </w:rPr>
            </w:pPr>
            <w:r>
              <w:rPr>
                <w:rFonts w:ascii="宋体" w:hAnsi="宋体" w:cs="宋体" w:hint="eastAsia"/>
                <w:sz w:val="20"/>
                <w:szCs w:val="20"/>
                <w:lang w:val="zh-CN"/>
              </w:rPr>
              <w:t>对投标人提供的投标文件进行综合评估。根据一下要求进行评分，最高得</w:t>
            </w:r>
            <w:r>
              <w:rPr>
                <w:rFonts w:ascii="宋体" w:hAnsi="宋体" w:cs="宋体" w:hint="eastAsia"/>
                <w:sz w:val="20"/>
                <w:szCs w:val="20"/>
              </w:rPr>
              <w:t>10</w:t>
            </w:r>
            <w:r>
              <w:rPr>
                <w:rFonts w:ascii="宋体" w:hAnsi="宋体" w:cs="宋体" w:hint="eastAsia"/>
                <w:sz w:val="20"/>
                <w:szCs w:val="20"/>
                <w:lang w:val="zh-CN"/>
              </w:rPr>
              <w:t>分，最低得O分，无整体方案和其他情况不得分。</w:t>
            </w:r>
          </w:p>
          <w:p w14:paraId="3323DAB4" w14:textId="77777777" w:rsidR="00924B60" w:rsidRDefault="00924B60" w:rsidP="00924B60">
            <w:pPr>
              <w:pStyle w:val="ab"/>
              <w:numPr>
                <w:ilvl w:val="0"/>
                <w:numId w:val="3"/>
              </w:numPr>
              <w:ind w:firstLineChars="0"/>
              <w:rPr>
                <w:rFonts w:hAnsi="宋体" w:cs="宋体"/>
                <w:sz w:val="20"/>
                <w:szCs w:val="20"/>
                <w:lang w:val="zh-CN"/>
              </w:rPr>
            </w:pPr>
            <w:r>
              <w:rPr>
                <w:rFonts w:hAnsi="宋体" w:cs="宋体" w:hint="eastAsia"/>
                <w:sz w:val="20"/>
                <w:szCs w:val="20"/>
                <w:lang w:val="zh-CN"/>
              </w:rPr>
              <w:t>总体技术方案：需要提供对方案产品选型、关键技术、功能特点、质量保证措施、实施保障措施等编写内容完善、方案阐述清晰，对本项目需求具有较强的针对性和适用性；方案完全满足项目建设需求，且投标文件制作符合要求，得</w:t>
            </w:r>
            <w:r>
              <w:rPr>
                <w:rFonts w:hAnsi="宋体" w:cs="宋体" w:hint="eastAsia"/>
                <w:sz w:val="20"/>
                <w:szCs w:val="20"/>
              </w:rPr>
              <w:t>4</w:t>
            </w:r>
            <w:r>
              <w:rPr>
                <w:rFonts w:hAnsi="宋体" w:cs="宋体" w:hint="eastAsia"/>
                <w:sz w:val="20"/>
                <w:szCs w:val="20"/>
                <w:lang w:val="zh-CN"/>
              </w:rPr>
              <w:t>-</w:t>
            </w:r>
            <w:r>
              <w:rPr>
                <w:rFonts w:hAnsi="宋体" w:cs="宋体" w:hint="eastAsia"/>
                <w:sz w:val="20"/>
                <w:szCs w:val="20"/>
              </w:rPr>
              <w:t>2</w:t>
            </w:r>
            <w:r>
              <w:rPr>
                <w:rFonts w:hAnsi="宋体" w:cs="宋体" w:hint="eastAsia"/>
                <w:sz w:val="20"/>
                <w:szCs w:val="20"/>
                <w:lang w:val="zh-CN"/>
              </w:rPr>
              <w:t>分；方案基本满足用户方建设需求，有部分表述不清晰，且投标文件制作符合要求得</w:t>
            </w:r>
            <w:r>
              <w:rPr>
                <w:rFonts w:hAnsi="宋体" w:cs="宋体" w:hint="eastAsia"/>
                <w:sz w:val="20"/>
                <w:szCs w:val="20"/>
              </w:rPr>
              <w:t>2</w:t>
            </w:r>
            <w:r>
              <w:rPr>
                <w:rFonts w:hAnsi="宋体" w:cs="宋体" w:hint="eastAsia"/>
                <w:sz w:val="20"/>
                <w:szCs w:val="20"/>
                <w:lang w:val="zh-CN"/>
              </w:rPr>
              <w:t>-0分；无总体技术方案和其他情况不得分。</w:t>
            </w:r>
          </w:p>
          <w:p w14:paraId="0189F92C" w14:textId="77777777" w:rsidR="00924B60" w:rsidRDefault="00924B60" w:rsidP="00924B60">
            <w:pPr>
              <w:pStyle w:val="ab"/>
              <w:numPr>
                <w:ilvl w:val="0"/>
                <w:numId w:val="3"/>
              </w:numPr>
              <w:ind w:firstLineChars="0"/>
              <w:rPr>
                <w:rFonts w:hAnsi="宋体" w:cs="宋体"/>
                <w:sz w:val="20"/>
                <w:szCs w:val="20"/>
                <w:lang w:val="zh-CN"/>
              </w:rPr>
            </w:pPr>
            <w:r>
              <w:rPr>
                <w:rFonts w:hAnsi="宋体" w:cs="宋体" w:hint="eastAsia"/>
                <w:sz w:val="20"/>
                <w:szCs w:val="20"/>
                <w:lang w:val="zh-CN"/>
              </w:rPr>
              <w:t>售后服务方案：需要有完整的售后服务方案，明确给出售后服务机构所在地、售后服务人员（团队）水平、售后服务响应机制、响应时间、售后服务支持方式等，售后服务方案内容编写充分完善得</w:t>
            </w:r>
            <w:r>
              <w:rPr>
                <w:rFonts w:hAnsi="宋体" w:cs="宋体" w:hint="eastAsia"/>
                <w:sz w:val="20"/>
                <w:szCs w:val="20"/>
              </w:rPr>
              <w:t>4</w:t>
            </w:r>
            <w:r>
              <w:rPr>
                <w:rFonts w:hAnsi="宋体" w:cs="宋体" w:hint="eastAsia"/>
                <w:sz w:val="20"/>
                <w:szCs w:val="20"/>
                <w:lang w:val="zh-CN"/>
              </w:rPr>
              <w:t>-2分；编写内容有部分但未完善得</w:t>
            </w:r>
            <w:r>
              <w:rPr>
                <w:rFonts w:hAnsi="宋体" w:cs="宋体" w:hint="eastAsia"/>
                <w:sz w:val="20"/>
                <w:szCs w:val="20"/>
              </w:rPr>
              <w:t>2</w:t>
            </w:r>
            <w:r>
              <w:rPr>
                <w:rFonts w:hAnsi="宋体" w:cs="宋体" w:hint="eastAsia"/>
                <w:sz w:val="20"/>
                <w:szCs w:val="20"/>
                <w:lang w:val="zh-CN"/>
              </w:rPr>
              <w:t>-0分，无售后服务方案不得分。</w:t>
            </w:r>
          </w:p>
          <w:p w14:paraId="2528AEEE" w14:textId="77777777" w:rsidR="00924B60" w:rsidRDefault="00924B60" w:rsidP="00924B60">
            <w:pPr>
              <w:pStyle w:val="a9"/>
              <w:widowControl/>
              <w:numPr>
                <w:ilvl w:val="0"/>
                <w:numId w:val="3"/>
              </w:numPr>
              <w:adjustRightInd w:val="0"/>
              <w:snapToGrid w:val="0"/>
              <w:spacing w:beforeLines="50" w:before="156" w:afterLines="50" w:after="156" w:line="276" w:lineRule="auto"/>
              <w:ind w:left="780" w:firstLineChars="0"/>
              <w:rPr>
                <w:rFonts w:ascii="宋体" w:hAnsi="宋体" w:cs="宋体"/>
                <w:kern w:val="0"/>
                <w:sz w:val="20"/>
                <w:szCs w:val="20"/>
              </w:rPr>
            </w:pPr>
            <w:r>
              <w:rPr>
                <w:rFonts w:ascii="宋体" w:hAnsi="宋体" w:cs="宋体" w:hint="eastAsia"/>
                <w:sz w:val="20"/>
                <w:szCs w:val="20"/>
                <w:lang w:val="zh-CN"/>
              </w:rPr>
              <w:t>培训方案：需有合理的培训计划，明确给出培训目标、内容、时长，地点等，培训计划内容编写充分完善得2-1分；编写内容有部分未完善1-0，无培训计划不得分。</w:t>
            </w:r>
          </w:p>
        </w:tc>
      </w:tr>
      <w:tr w:rsidR="00924B60" w14:paraId="67A7FF48" w14:textId="77777777" w:rsidTr="007B69FB">
        <w:trPr>
          <w:trHeight w:val="274"/>
        </w:trPr>
        <w:tc>
          <w:tcPr>
            <w:tcW w:w="518" w:type="pct"/>
            <w:vMerge w:val="restart"/>
            <w:tcBorders>
              <w:left w:val="single" w:sz="4" w:space="0" w:color="auto"/>
              <w:right w:val="single" w:sz="4" w:space="0" w:color="auto"/>
            </w:tcBorders>
            <w:vAlign w:val="center"/>
          </w:tcPr>
          <w:p w14:paraId="3298089C"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lastRenderedPageBreak/>
              <w:t>商务部分2</w:t>
            </w:r>
            <w:r>
              <w:rPr>
                <w:rFonts w:ascii="宋体" w:hAnsi="宋体" w:cs="宋体" w:hint="eastAsia"/>
                <w:b/>
                <w:sz w:val="20"/>
                <w:szCs w:val="20"/>
              </w:rPr>
              <w:t>0</w:t>
            </w:r>
            <w:r>
              <w:rPr>
                <w:rFonts w:ascii="宋体" w:hAnsi="宋体" w:cs="宋体" w:hint="eastAsia"/>
                <w:b/>
                <w:sz w:val="20"/>
                <w:szCs w:val="20"/>
                <w:lang w:val="zh-CN"/>
              </w:rPr>
              <w:t>分</w:t>
            </w:r>
          </w:p>
        </w:tc>
        <w:tc>
          <w:tcPr>
            <w:tcW w:w="595" w:type="pct"/>
            <w:vMerge w:val="restart"/>
            <w:tcBorders>
              <w:top w:val="single" w:sz="4" w:space="0" w:color="auto"/>
              <w:left w:val="single" w:sz="4" w:space="0" w:color="auto"/>
              <w:right w:val="single" w:sz="4" w:space="0" w:color="auto"/>
            </w:tcBorders>
            <w:vAlign w:val="center"/>
          </w:tcPr>
          <w:p w14:paraId="0D8F1A9C"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厂商资质</w:t>
            </w:r>
          </w:p>
          <w:p w14:paraId="45FC8AE8" w14:textId="77777777" w:rsidR="00924B60" w:rsidRDefault="00924B60" w:rsidP="007B69FB">
            <w:pPr>
              <w:adjustRightInd w:val="0"/>
              <w:snapToGrid w:val="0"/>
              <w:spacing w:line="320" w:lineRule="exact"/>
              <w:jc w:val="center"/>
              <w:rPr>
                <w:rFonts w:ascii="宋体" w:hAnsi="宋体" w:cs="宋体"/>
                <w:kern w:val="0"/>
                <w:sz w:val="20"/>
                <w:szCs w:val="20"/>
              </w:rPr>
            </w:pPr>
            <w:r>
              <w:rPr>
                <w:rFonts w:ascii="宋体" w:hAnsi="宋体" w:cs="宋体" w:hint="eastAsia"/>
                <w:sz w:val="20"/>
                <w:szCs w:val="20"/>
              </w:rPr>
              <w:t>（20分）</w:t>
            </w:r>
          </w:p>
        </w:tc>
        <w:tc>
          <w:tcPr>
            <w:tcW w:w="387" w:type="pct"/>
            <w:tcBorders>
              <w:top w:val="single" w:sz="4" w:space="0" w:color="auto"/>
              <w:left w:val="single" w:sz="4" w:space="0" w:color="auto"/>
              <w:right w:val="single" w:sz="4" w:space="0" w:color="auto"/>
            </w:tcBorders>
            <w:vAlign w:val="center"/>
          </w:tcPr>
          <w:p w14:paraId="0469B945"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3</w:t>
            </w:r>
          </w:p>
        </w:tc>
        <w:tc>
          <w:tcPr>
            <w:tcW w:w="3498" w:type="pct"/>
            <w:tcBorders>
              <w:top w:val="single" w:sz="4" w:space="0" w:color="auto"/>
              <w:left w:val="single" w:sz="4" w:space="0" w:color="auto"/>
              <w:right w:val="single" w:sz="4" w:space="0" w:color="auto"/>
            </w:tcBorders>
            <w:vAlign w:val="center"/>
          </w:tcPr>
          <w:p w14:paraId="66F532BA"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sz w:val="20"/>
                <w:szCs w:val="20"/>
                <w:lang w:val="zh-CN"/>
              </w:rPr>
            </w:pPr>
            <w:r>
              <w:rPr>
                <w:rFonts w:ascii="宋体" w:hAnsi="宋体" w:cs="宋体" w:hint="eastAsia"/>
                <w:kern w:val="0"/>
                <w:sz w:val="20"/>
                <w:szCs w:val="20"/>
              </w:rPr>
              <w:t>所投桌面云产品厂商底层服务器虚拟化软件通过中国电子技术标准化研究院的“信息技术 虚拟机管理通用要求”，“信息技术 弹性计算应用接口”测评的每项得1.5分，共3分，不提供不得分；</w:t>
            </w:r>
          </w:p>
        </w:tc>
      </w:tr>
      <w:tr w:rsidR="00924B60" w14:paraId="0DC1D269" w14:textId="77777777" w:rsidTr="007B69FB">
        <w:trPr>
          <w:trHeight w:val="802"/>
        </w:trPr>
        <w:tc>
          <w:tcPr>
            <w:tcW w:w="518" w:type="pct"/>
            <w:vMerge/>
            <w:tcBorders>
              <w:left w:val="single" w:sz="4" w:space="0" w:color="auto"/>
              <w:right w:val="single" w:sz="4" w:space="0" w:color="auto"/>
            </w:tcBorders>
            <w:vAlign w:val="center"/>
          </w:tcPr>
          <w:p w14:paraId="32F954B5"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22337EA5"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2C8E4015"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3</w:t>
            </w:r>
          </w:p>
        </w:tc>
        <w:tc>
          <w:tcPr>
            <w:tcW w:w="3498" w:type="pct"/>
            <w:tcBorders>
              <w:left w:val="single" w:sz="4" w:space="0" w:color="auto"/>
              <w:right w:val="single" w:sz="4" w:space="0" w:color="auto"/>
            </w:tcBorders>
            <w:vAlign w:val="center"/>
          </w:tcPr>
          <w:p w14:paraId="683D2BAF"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sz w:val="20"/>
                <w:szCs w:val="20"/>
                <w:lang w:val="zh-CN"/>
              </w:rPr>
            </w:pPr>
            <w:r>
              <w:rPr>
                <w:rFonts w:ascii="宋体" w:hAnsi="宋体" w:cs="宋体" w:hint="eastAsia"/>
                <w:sz w:val="20"/>
                <w:szCs w:val="20"/>
                <w:lang w:val="zh-CN"/>
              </w:rPr>
              <w:t>所投桌面云产品厂商具有完善的售后服务体系，CTEAS售后服务体系完善程度认证达到七星级的得</w:t>
            </w:r>
            <w:r>
              <w:rPr>
                <w:rFonts w:ascii="宋体" w:hAnsi="宋体" w:cs="宋体" w:hint="eastAsia"/>
                <w:sz w:val="20"/>
                <w:szCs w:val="20"/>
              </w:rPr>
              <w:t>3</w:t>
            </w:r>
            <w:r>
              <w:rPr>
                <w:rFonts w:ascii="宋体" w:hAnsi="宋体" w:cs="宋体" w:hint="eastAsia"/>
                <w:sz w:val="20"/>
                <w:szCs w:val="20"/>
                <w:lang w:val="zh-CN"/>
              </w:rPr>
              <w:t>分，达到五星级的得1分，不提供不得分；</w:t>
            </w:r>
          </w:p>
        </w:tc>
      </w:tr>
      <w:tr w:rsidR="00924B60" w14:paraId="49519256" w14:textId="77777777" w:rsidTr="007B69FB">
        <w:trPr>
          <w:trHeight w:val="802"/>
        </w:trPr>
        <w:tc>
          <w:tcPr>
            <w:tcW w:w="518" w:type="pct"/>
            <w:vMerge/>
            <w:tcBorders>
              <w:left w:val="single" w:sz="4" w:space="0" w:color="auto"/>
              <w:right w:val="single" w:sz="4" w:space="0" w:color="auto"/>
            </w:tcBorders>
            <w:vAlign w:val="center"/>
          </w:tcPr>
          <w:p w14:paraId="5FB1C6F5"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422A836A"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74004E40"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3</w:t>
            </w:r>
          </w:p>
        </w:tc>
        <w:tc>
          <w:tcPr>
            <w:tcW w:w="3498" w:type="pct"/>
            <w:tcBorders>
              <w:left w:val="single" w:sz="4" w:space="0" w:color="auto"/>
              <w:right w:val="single" w:sz="4" w:space="0" w:color="auto"/>
            </w:tcBorders>
            <w:vAlign w:val="center"/>
          </w:tcPr>
          <w:p w14:paraId="4AC6D7CC"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sz w:val="20"/>
                <w:szCs w:val="20"/>
                <w:lang w:val="zh-CN"/>
              </w:rPr>
            </w:pPr>
            <w:r>
              <w:rPr>
                <w:rFonts w:ascii="宋体" w:hAnsi="宋体" w:cs="宋体" w:hint="eastAsia"/>
                <w:kern w:val="0"/>
                <w:sz w:val="20"/>
                <w:szCs w:val="20"/>
              </w:rPr>
              <w:t>所投</w:t>
            </w:r>
            <w:r>
              <w:rPr>
                <w:rFonts w:ascii="宋体" w:hAnsi="宋体" w:cs="宋体" w:hint="eastAsia"/>
                <w:sz w:val="20"/>
                <w:szCs w:val="20"/>
                <w:lang w:val="zh-CN"/>
              </w:rPr>
              <w:t>桌面云</w:t>
            </w:r>
            <w:r>
              <w:rPr>
                <w:rFonts w:ascii="宋体" w:hAnsi="宋体" w:cs="宋体" w:hint="eastAsia"/>
                <w:kern w:val="0"/>
                <w:sz w:val="20"/>
                <w:szCs w:val="20"/>
              </w:rPr>
              <w:t>产品厂商具备国家信息化部门颁发的ITSS云计算服务能力标准符合性证书（三级或以上级别）,提供得3分</w:t>
            </w:r>
          </w:p>
        </w:tc>
      </w:tr>
      <w:tr w:rsidR="00924B60" w14:paraId="05D211C1" w14:textId="77777777" w:rsidTr="007B69FB">
        <w:trPr>
          <w:trHeight w:val="802"/>
        </w:trPr>
        <w:tc>
          <w:tcPr>
            <w:tcW w:w="518" w:type="pct"/>
            <w:vMerge/>
            <w:tcBorders>
              <w:left w:val="single" w:sz="4" w:space="0" w:color="auto"/>
              <w:right w:val="single" w:sz="4" w:space="0" w:color="auto"/>
            </w:tcBorders>
            <w:vAlign w:val="center"/>
          </w:tcPr>
          <w:p w14:paraId="5967D64A"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7F94C80B"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09CB552C" w14:textId="77777777" w:rsidR="00924B60" w:rsidRDefault="00924B60" w:rsidP="007B69FB">
            <w:pPr>
              <w:adjustRightInd w:val="0"/>
              <w:snapToGrid w:val="0"/>
              <w:spacing w:line="320" w:lineRule="exact"/>
              <w:jc w:val="center"/>
              <w:rPr>
                <w:rFonts w:ascii="宋体" w:hAnsi="宋体" w:cs="宋体"/>
                <w:sz w:val="20"/>
                <w:szCs w:val="20"/>
                <w:lang w:val="zh-CN"/>
              </w:rPr>
            </w:pPr>
            <w:r>
              <w:rPr>
                <w:rFonts w:ascii="宋体" w:hAnsi="宋体" w:cs="宋体" w:hint="eastAsia"/>
                <w:sz w:val="20"/>
                <w:szCs w:val="20"/>
                <w:lang w:val="zh-CN"/>
              </w:rPr>
              <w:t>3</w:t>
            </w:r>
          </w:p>
        </w:tc>
        <w:tc>
          <w:tcPr>
            <w:tcW w:w="3498" w:type="pct"/>
            <w:tcBorders>
              <w:left w:val="single" w:sz="4" w:space="0" w:color="auto"/>
              <w:right w:val="single" w:sz="4" w:space="0" w:color="auto"/>
            </w:tcBorders>
            <w:vAlign w:val="center"/>
          </w:tcPr>
          <w:p w14:paraId="588F202C"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kern w:val="0"/>
                <w:sz w:val="20"/>
                <w:szCs w:val="20"/>
              </w:rPr>
            </w:pPr>
            <w:r>
              <w:rPr>
                <w:rFonts w:ascii="宋体" w:hAnsi="宋体" w:cs="宋体" w:hint="eastAsia"/>
                <w:kern w:val="0"/>
                <w:sz w:val="20"/>
                <w:szCs w:val="20"/>
              </w:rPr>
              <w:t>为保证投标产品的稳定性与可靠性，所投桌面云软件产品厂商通过CMMI 5级软件成熟度认证，提供CMMI5证书复印件，得3分，不提供不得分。</w:t>
            </w:r>
          </w:p>
        </w:tc>
      </w:tr>
      <w:tr w:rsidR="00924B60" w14:paraId="6DF4064E" w14:textId="77777777" w:rsidTr="007B69FB">
        <w:trPr>
          <w:trHeight w:val="802"/>
        </w:trPr>
        <w:tc>
          <w:tcPr>
            <w:tcW w:w="518" w:type="pct"/>
            <w:vMerge/>
            <w:tcBorders>
              <w:left w:val="single" w:sz="4" w:space="0" w:color="auto"/>
              <w:right w:val="single" w:sz="4" w:space="0" w:color="auto"/>
            </w:tcBorders>
            <w:vAlign w:val="center"/>
          </w:tcPr>
          <w:p w14:paraId="66FFBD74"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7C13E8A6"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22D11C85"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3</w:t>
            </w:r>
          </w:p>
        </w:tc>
        <w:tc>
          <w:tcPr>
            <w:tcW w:w="3498" w:type="pct"/>
            <w:tcBorders>
              <w:left w:val="single" w:sz="4" w:space="0" w:color="auto"/>
              <w:right w:val="single" w:sz="4" w:space="0" w:color="auto"/>
            </w:tcBorders>
            <w:vAlign w:val="center"/>
          </w:tcPr>
          <w:p w14:paraId="4B3FE9AA"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kern w:val="0"/>
                <w:sz w:val="20"/>
                <w:szCs w:val="20"/>
              </w:rPr>
            </w:pPr>
            <w:r>
              <w:rPr>
                <w:rFonts w:ascii="宋体" w:hAnsi="宋体" w:cs="宋体" w:hint="eastAsia"/>
                <w:kern w:val="0"/>
                <w:sz w:val="20"/>
                <w:szCs w:val="20"/>
              </w:rPr>
              <w:t>所投桌面云软件产品厂商管理体系符合GB/T29490-2013《企业知识产权管理规范》，具备知识产权管理体系认证证书，提供证书得3分，不提供不得分；</w:t>
            </w:r>
          </w:p>
        </w:tc>
      </w:tr>
      <w:tr w:rsidR="00924B60" w14:paraId="682D9ABA" w14:textId="77777777" w:rsidTr="007B69FB">
        <w:trPr>
          <w:trHeight w:val="802"/>
        </w:trPr>
        <w:tc>
          <w:tcPr>
            <w:tcW w:w="518" w:type="pct"/>
            <w:vMerge/>
            <w:tcBorders>
              <w:left w:val="single" w:sz="4" w:space="0" w:color="auto"/>
              <w:right w:val="single" w:sz="4" w:space="0" w:color="auto"/>
            </w:tcBorders>
            <w:vAlign w:val="center"/>
          </w:tcPr>
          <w:p w14:paraId="45A2DF96"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14686412"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03D3D392" w14:textId="77777777" w:rsidR="00924B60" w:rsidRDefault="00924B60"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2</w:t>
            </w:r>
          </w:p>
        </w:tc>
        <w:tc>
          <w:tcPr>
            <w:tcW w:w="3498" w:type="pct"/>
            <w:tcBorders>
              <w:left w:val="single" w:sz="4" w:space="0" w:color="auto"/>
              <w:right w:val="single" w:sz="4" w:space="0" w:color="auto"/>
            </w:tcBorders>
            <w:vAlign w:val="center"/>
          </w:tcPr>
          <w:p w14:paraId="70683106"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kern w:val="0"/>
                <w:sz w:val="20"/>
                <w:szCs w:val="20"/>
              </w:rPr>
            </w:pPr>
            <w:r>
              <w:rPr>
                <w:rFonts w:ascii="宋体" w:hAnsi="宋体" w:cs="宋体" w:hint="eastAsia"/>
                <w:kern w:val="0"/>
                <w:sz w:val="20"/>
                <w:szCs w:val="20"/>
              </w:rPr>
              <w:t>所投桌面云产品厂商具备ISO27001信息安全管理体系认证证书、基于ISO/IEC 20000-1的服务管理体系认证证书，每项得1分，共2分，不提供不得分；</w:t>
            </w:r>
          </w:p>
        </w:tc>
      </w:tr>
      <w:tr w:rsidR="00924B60" w14:paraId="2FD8B140" w14:textId="77777777" w:rsidTr="007B69FB">
        <w:trPr>
          <w:trHeight w:val="802"/>
        </w:trPr>
        <w:tc>
          <w:tcPr>
            <w:tcW w:w="518" w:type="pct"/>
            <w:vMerge/>
            <w:tcBorders>
              <w:left w:val="single" w:sz="4" w:space="0" w:color="auto"/>
              <w:right w:val="single" w:sz="4" w:space="0" w:color="auto"/>
            </w:tcBorders>
            <w:vAlign w:val="center"/>
          </w:tcPr>
          <w:p w14:paraId="3895D2F9" w14:textId="77777777" w:rsidR="00924B60" w:rsidRDefault="00924B60" w:rsidP="007B69FB">
            <w:pPr>
              <w:adjustRightInd w:val="0"/>
              <w:snapToGrid w:val="0"/>
              <w:spacing w:line="320" w:lineRule="exact"/>
              <w:jc w:val="center"/>
              <w:rPr>
                <w:rFonts w:ascii="宋体" w:hAnsi="宋体" w:cs="宋体"/>
                <w:b/>
                <w:sz w:val="20"/>
                <w:szCs w:val="20"/>
                <w:lang w:val="zh-CN"/>
              </w:rPr>
            </w:pPr>
          </w:p>
        </w:tc>
        <w:tc>
          <w:tcPr>
            <w:tcW w:w="595" w:type="pct"/>
            <w:vMerge/>
            <w:tcBorders>
              <w:left w:val="single" w:sz="4" w:space="0" w:color="auto"/>
              <w:right w:val="single" w:sz="4" w:space="0" w:color="auto"/>
            </w:tcBorders>
            <w:vAlign w:val="center"/>
          </w:tcPr>
          <w:p w14:paraId="66CB6888" w14:textId="77777777" w:rsidR="00924B60" w:rsidRDefault="00924B60"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24760D96" w14:textId="170ABDD0" w:rsidR="00924B60" w:rsidRDefault="00A46A8E"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2</w:t>
            </w:r>
          </w:p>
        </w:tc>
        <w:tc>
          <w:tcPr>
            <w:tcW w:w="3498" w:type="pct"/>
            <w:tcBorders>
              <w:left w:val="single" w:sz="4" w:space="0" w:color="auto"/>
              <w:right w:val="single" w:sz="4" w:space="0" w:color="auto"/>
            </w:tcBorders>
            <w:vAlign w:val="center"/>
          </w:tcPr>
          <w:p w14:paraId="5FF407B6" w14:textId="77777777" w:rsidR="00924B60" w:rsidRDefault="00924B60"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kern w:val="0"/>
                <w:sz w:val="20"/>
                <w:szCs w:val="20"/>
                <w:lang w:val="zh-CN"/>
              </w:rPr>
            </w:pPr>
            <w:r>
              <w:rPr>
                <w:rFonts w:ascii="宋体" w:hAnsi="宋体" w:cs="宋体" w:hint="eastAsia"/>
                <w:kern w:val="0"/>
                <w:sz w:val="20"/>
                <w:szCs w:val="20"/>
                <w:lang w:val="zh-CN"/>
              </w:rPr>
              <w:t>为保证网络传输不受骚扰，要求所投</w:t>
            </w:r>
            <w:r>
              <w:rPr>
                <w:rFonts w:ascii="宋体" w:hAnsi="宋体" w:cs="宋体" w:hint="eastAsia"/>
                <w:kern w:val="0"/>
                <w:sz w:val="20"/>
                <w:szCs w:val="20"/>
              </w:rPr>
              <w:t>云终端</w:t>
            </w:r>
            <w:r>
              <w:rPr>
                <w:rFonts w:ascii="宋体" w:hAnsi="宋体" w:cs="宋体" w:hint="eastAsia"/>
                <w:kern w:val="0"/>
                <w:sz w:val="20"/>
                <w:szCs w:val="20"/>
                <w:lang w:val="zh-CN"/>
              </w:rPr>
              <w:t>产品在0.15~0.50MHz和0.50~30MHz频率范围内传导连续骚扰（电信端口）符合国家GB/T 9254.1-2021相关标准，提供第三方机构出具的带CNAS和CMA标识的功能性测试报告扫描件 ，</w:t>
            </w:r>
            <w:r>
              <w:rPr>
                <w:rFonts w:ascii="宋体" w:hAnsi="宋体" w:cs="宋体" w:hint="eastAsia"/>
                <w:kern w:val="0"/>
                <w:sz w:val="20"/>
                <w:szCs w:val="20"/>
              </w:rPr>
              <w:t>提供得3分，不提供不得分；</w:t>
            </w:r>
          </w:p>
        </w:tc>
      </w:tr>
      <w:tr w:rsidR="00A46A8E" w14:paraId="479A4486" w14:textId="77777777" w:rsidTr="007B69FB">
        <w:trPr>
          <w:trHeight w:val="802"/>
        </w:trPr>
        <w:tc>
          <w:tcPr>
            <w:tcW w:w="518" w:type="pct"/>
            <w:vMerge/>
            <w:tcBorders>
              <w:left w:val="single" w:sz="4" w:space="0" w:color="auto"/>
              <w:right w:val="single" w:sz="4" w:space="0" w:color="auto"/>
            </w:tcBorders>
            <w:vAlign w:val="center"/>
          </w:tcPr>
          <w:p w14:paraId="1C906949" w14:textId="77777777" w:rsidR="00A46A8E" w:rsidRDefault="00A46A8E" w:rsidP="007B69FB">
            <w:pPr>
              <w:adjustRightInd w:val="0"/>
              <w:snapToGrid w:val="0"/>
              <w:spacing w:line="320" w:lineRule="exact"/>
              <w:jc w:val="center"/>
              <w:rPr>
                <w:rFonts w:ascii="宋体" w:hAnsi="宋体" w:cs="宋体"/>
                <w:b/>
                <w:sz w:val="20"/>
                <w:szCs w:val="20"/>
                <w:lang w:val="zh-CN"/>
              </w:rPr>
            </w:pPr>
          </w:p>
        </w:tc>
        <w:tc>
          <w:tcPr>
            <w:tcW w:w="595" w:type="pct"/>
            <w:tcBorders>
              <w:left w:val="single" w:sz="4" w:space="0" w:color="auto"/>
              <w:right w:val="single" w:sz="4" w:space="0" w:color="auto"/>
            </w:tcBorders>
            <w:vAlign w:val="center"/>
          </w:tcPr>
          <w:p w14:paraId="6B23D069" w14:textId="77777777" w:rsidR="00A46A8E" w:rsidRDefault="00A46A8E" w:rsidP="007B69FB">
            <w:pPr>
              <w:adjustRightInd w:val="0"/>
              <w:snapToGrid w:val="0"/>
              <w:spacing w:line="320" w:lineRule="exact"/>
              <w:jc w:val="center"/>
              <w:rPr>
                <w:rFonts w:ascii="宋体" w:hAnsi="宋体" w:cs="宋体"/>
                <w:sz w:val="20"/>
                <w:szCs w:val="20"/>
                <w:lang w:val="zh-CN"/>
              </w:rPr>
            </w:pPr>
          </w:p>
        </w:tc>
        <w:tc>
          <w:tcPr>
            <w:tcW w:w="387" w:type="pct"/>
            <w:tcBorders>
              <w:top w:val="single" w:sz="4" w:space="0" w:color="auto"/>
              <w:left w:val="single" w:sz="4" w:space="0" w:color="auto"/>
              <w:right w:val="single" w:sz="4" w:space="0" w:color="auto"/>
            </w:tcBorders>
            <w:vAlign w:val="center"/>
          </w:tcPr>
          <w:p w14:paraId="57FF4381" w14:textId="3A1BC549" w:rsidR="00A46A8E" w:rsidRDefault="00A46A8E" w:rsidP="007B69FB">
            <w:pPr>
              <w:adjustRightInd w:val="0"/>
              <w:snapToGrid w:val="0"/>
              <w:spacing w:line="320" w:lineRule="exact"/>
              <w:jc w:val="center"/>
              <w:rPr>
                <w:rFonts w:ascii="宋体" w:hAnsi="宋体" w:cs="宋体"/>
                <w:sz w:val="20"/>
                <w:szCs w:val="20"/>
              </w:rPr>
            </w:pPr>
            <w:r>
              <w:rPr>
                <w:rFonts w:ascii="宋体" w:hAnsi="宋体" w:cs="宋体" w:hint="eastAsia"/>
                <w:sz w:val="20"/>
                <w:szCs w:val="20"/>
              </w:rPr>
              <w:t>1</w:t>
            </w:r>
          </w:p>
        </w:tc>
        <w:tc>
          <w:tcPr>
            <w:tcW w:w="3498" w:type="pct"/>
            <w:tcBorders>
              <w:left w:val="single" w:sz="4" w:space="0" w:color="auto"/>
              <w:right w:val="single" w:sz="4" w:space="0" w:color="auto"/>
            </w:tcBorders>
            <w:vAlign w:val="center"/>
          </w:tcPr>
          <w:p w14:paraId="76CD9356" w14:textId="2C47BE16" w:rsidR="00A46A8E" w:rsidRPr="00A46A8E" w:rsidRDefault="00A46A8E" w:rsidP="00924B60">
            <w:pPr>
              <w:pStyle w:val="a9"/>
              <w:widowControl/>
              <w:numPr>
                <w:ilvl w:val="0"/>
                <w:numId w:val="4"/>
              </w:numPr>
              <w:adjustRightInd w:val="0"/>
              <w:snapToGrid w:val="0"/>
              <w:spacing w:beforeLines="50" w:before="156" w:afterLines="50" w:after="156" w:line="276" w:lineRule="auto"/>
              <w:ind w:left="630" w:firstLineChars="0"/>
              <w:rPr>
                <w:rFonts w:ascii="宋体" w:hAnsi="宋体" w:cs="宋体"/>
                <w:kern w:val="0"/>
                <w:sz w:val="20"/>
                <w:szCs w:val="20"/>
              </w:rPr>
            </w:pPr>
            <w:r>
              <w:rPr>
                <w:rFonts w:ascii="宋体" w:hAnsi="宋体" w:cs="宋体" w:hint="eastAsia"/>
                <w:kern w:val="0"/>
                <w:sz w:val="20"/>
                <w:szCs w:val="20"/>
                <w:lang w:val="zh-CN"/>
              </w:rPr>
              <w:t>所供</w:t>
            </w:r>
            <w:r w:rsidRPr="00644467">
              <w:rPr>
                <w:rFonts w:ascii="宋体" w:hAnsi="宋体" w:cs="Arial" w:hint="eastAsia"/>
                <w:sz w:val="20"/>
                <w:szCs w:val="20"/>
              </w:rPr>
              <w:t>台式机CPU：i5 10代</w:t>
            </w:r>
            <w:r>
              <w:rPr>
                <w:rFonts w:ascii="宋体" w:hAnsi="宋体" w:cs="Arial" w:hint="eastAsia"/>
                <w:sz w:val="20"/>
                <w:szCs w:val="20"/>
              </w:rPr>
              <w:t>以上</w:t>
            </w:r>
            <w:r w:rsidRPr="00644467">
              <w:rPr>
                <w:rFonts w:ascii="宋体" w:hAnsi="宋体" w:cs="Arial" w:hint="eastAsia"/>
                <w:sz w:val="20"/>
                <w:szCs w:val="20"/>
              </w:rPr>
              <w:t xml:space="preserve"> 内存：16G硬盘</w:t>
            </w:r>
            <w:r>
              <w:rPr>
                <w:rFonts w:ascii="宋体" w:hAnsi="宋体" w:cs="Arial" w:hint="eastAsia"/>
                <w:sz w:val="20"/>
                <w:szCs w:val="20"/>
              </w:rPr>
              <w:t>：</w:t>
            </w:r>
            <w:r>
              <w:rPr>
                <w:rFonts w:ascii="宋体" w:hAnsi="宋体" w:cs="Arial"/>
                <w:sz w:val="20"/>
                <w:szCs w:val="20"/>
              </w:rPr>
              <w:t xml:space="preserve">SATA </w:t>
            </w:r>
            <w:r w:rsidRPr="00644467">
              <w:rPr>
                <w:rFonts w:ascii="宋体" w:hAnsi="宋体" w:cs="Arial" w:hint="eastAsia"/>
                <w:sz w:val="20"/>
                <w:szCs w:val="20"/>
              </w:rPr>
              <w:t>1TSSD ，23.8英寸显示器，需提供3年售后服务</w:t>
            </w:r>
            <w:r>
              <w:rPr>
                <w:rFonts w:ascii="宋体" w:hAnsi="宋体" w:cs="Arial" w:hint="eastAsia"/>
                <w:sz w:val="20"/>
                <w:szCs w:val="20"/>
              </w:rPr>
              <w:t>,</w:t>
            </w:r>
            <w:r w:rsidRPr="00644467">
              <w:rPr>
                <w:rFonts w:ascii="宋体" w:hAnsi="宋体" w:cs="Arial"/>
                <w:sz w:val="20"/>
                <w:szCs w:val="20"/>
              </w:rPr>
              <w:t xml:space="preserve"> 品牌为国产</w:t>
            </w:r>
            <w:r>
              <w:rPr>
                <w:rFonts w:ascii="宋体" w:hAnsi="宋体" w:cs="Arial"/>
                <w:sz w:val="20"/>
                <w:szCs w:val="20"/>
              </w:rPr>
              <w:t>品牌</w:t>
            </w:r>
            <w:r w:rsidRPr="00644467">
              <w:rPr>
                <w:rFonts w:ascii="宋体" w:hAnsi="宋体" w:cs="Arial"/>
                <w:sz w:val="20"/>
                <w:szCs w:val="20"/>
              </w:rPr>
              <w:t>机</w:t>
            </w:r>
            <w:r>
              <w:rPr>
                <w:rFonts w:ascii="宋体" w:hAnsi="宋体" w:cs="Arial" w:hint="eastAsia"/>
                <w:sz w:val="20"/>
                <w:szCs w:val="20"/>
              </w:rPr>
              <w:t>；符合条件，得1分，不满足不得分。</w:t>
            </w:r>
          </w:p>
        </w:tc>
      </w:tr>
      <w:tr w:rsidR="00924B60" w14:paraId="03F14B6C" w14:textId="77777777" w:rsidTr="007B69FB">
        <w:trPr>
          <w:trHeight w:val="737"/>
        </w:trPr>
        <w:tc>
          <w:tcPr>
            <w:tcW w:w="518" w:type="pct"/>
            <w:vMerge/>
            <w:tcBorders>
              <w:left w:val="single" w:sz="4" w:space="0" w:color="auto"/>
              <w:right w:val="single" w:sz="4" w:space="0" w:color="auto"/>
            </w:tcBorders>
            <w:vAlign w:val="center"/>
          </w:tcPr>
          <w:p w14:paraId="2714BFD0" w14:textId="77777777" w:rsidR="00924B60" w:rsidRPr="00A46A8E" w:rsidRDefault="00924B60" w:rsidP="007B69FB">
            <w:pPr>
              <w:adjustRightInd w:val="0"/>
              <w:snapToGrid w:val="0"/>
              <w:spacing w:line="320" w:lineRule="exact"/>
              <w:jc w:val="center"/>
              <w:rPr>
                <w:rFonts w:ascii="宋体" w:hAnsi="宋体" w:cs="宋体"/>
                <w:b/>
                <w:sz w:val="20"/>
                <w:szCs w:val="20"/>
              </w:rPr>
            </w:pPr>
          </w:p>
        </w:tc>
        <w:tc>
          <w:tcPr>
            <w:tcW w:w="4481" w:type="pct"/>
            <w:gridSpan w:val="3"/>
            <w:tcBorders>
              <w:left w:val="single" w:sz="4" w:space="0" w:color="auto"/>
              <w:right w:val="single" w:sz="4" w:space="0" w:color="auto"/>
            </w:tcBorders>
            <w:vAlign w:val="center"/>
          </w:tcPr>
          <w:p w14:paraId="620F670D" w14:textId="77777777" w:rsidR="00924B60" w:rsidRDefault="00924B60" w:rsidP="007B69FB">
            <w:pPr>
              <w:widowControl/>
              <w:adjustRightInd w:val="0"/>
              <w:snapToGrid w:val="0"/>
              <w:spacing w:beforeLines="50" w:before="156" w:afterLines="50" w:after="156" w:line="276" w:lineRule="auto"/>
              <w:rPr>
                <w:rFonts w:ascii="宋体" w:hAnsi="宋体" w:cs="宋体"/>
                <w:sz w:val="20"/>
                <w:szCs w:val="20"/>
                <w:lang w:val="zh-CN"/>
              </w:rPr>
            </w:pPr>
            <w:r>
              <w:rPr>
                <w:rFonts w:ascii="宋体" w:hAnsi="宋体" w:cs="宋体" w:hint="eastAsia"/>
                <w:sz w:val="20"/>
                <w:szCs w:val="20"/>
                <w:lang w:val="zh-CN"/>
              </w:rPr>
              <w:t>中标后，接采购人通知3个工作日内提供证书原件备查，如未提供，视为虚假应标处理，取消中标资格。</w:t>
            </w:r>
          </w:p>
        </w:tc>
      </w:tr>
      <w:tr w:rsidR="00924B60" w14:paraId="7C1C8C1E" w14:textId="77777777" w:rsidTr="007B69FB">
        <w:trPr>
          <w:trHeight w:val="460"/>
        </w:trPr>
        <w:tc>
          <w:tcPr>
            <w:tcW w:w="1113" w:type="pct"/>
            <w:gridSpan w:val="2"/>
            <w:tcBorders>
              <w:top w:val="single" w:sz="4" w:space="0" w:color="auto"/>
              <w:left w:val="single" w:sz="4" w:space="0" w:color="auto"/>
              <w:bottom w:val="single" w:sz="4" w:space="0" w:color="auto"/>
              <w:right w:val="single" w:sz="4" w:space="0" w:color="auto"/>
            </w:tcBorders>
            <w:vAlign w:val="center"/>
          </w:tcPr>
          <w:p w14:paraId="5AE71EB6"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合计</w:t>
            </w:r>
          </w:p>
        </w:tc>
        <w:tc>
          <w:tcPr>
            <w:tcW w:w="387" w:type="pct"/>
            <w:tcBorders>
              <w:top w:val="single" w:sz="4" w:space="0" w:color="auto"/>
              <w:left w:val="single" w:sz="4" w:space="0" w:color="auto"/>
              <w:bottom w:val="single" w:sz="4" w:space="0" w:color="auto"/>
              <w:right w:val="single" w:sz="4" w:space="0" w:color="auto"/>
            </w:tcBorders>
            <w:vAlign w:val="center"/>
          </w:tcPr>
          <w:p w14:paraId="6F9219F6" w14:textId="77777777" w:rsidR="00924B60" w:rsidRDefault="00924B60" w:rsidP="007B69FB">
            <w:pPr>
              <w:adjustRightInd w:val="0"/>
              <w:snapToGrid w:val="0"/>
              <w:spacing w:line="320" w:lineRule="exact"/>
              <w:jc w:val="center"/>
              <w:rPr>
                <w:rFonts w:ascii="宋体" w:hAnsi="宋体" w:cs="宋体"/>
                <w:b/>
                <w:sz w:val="20"/>
                <w:szCs w:val="20"/>
                <w:lang w:val="zh-CN"/>
              </w:rPr>
            </w:pPr>
            <w:r>
              <w:rPr>
                <w:rFonts w:ascii="宋体" w:hAnsi="宋体" w:cs="宋体" w:hint="eastAsia"/>
                <w:b/>
                <w:sz w:val="20"/>
                <w:szCs w:val="20"/>
                <w:lang w:val="zh-CN"/>
              </w:rPr>
              <w:t>100</w:t>
            </w:r>
          </w:p>
        </w:tc>
        <w:tc>
          <w:tcPr>
            <w:tcW w:w="3498" w:type="pct"/>
            <w:tcBorders>
              <w:top w:val="single" w:sz="4" w:space="0" w:color="auto"/>
              <w:left w:val="single" w:sz="4" w:space="0" w:color="auto"/>
              <w:bottom w:val="single" w:sz="4" w:space="0" w:color="auto"/>
              <w:right w:val="single" w:sz="4" w:space="0" w:color="auto"/>
            </w:tcBorders>
            <w:vAlign w:val="center"/>
          </w:tcPr>
          <w:p w14:paraId="52FAD725" w14:textId="77777777" w:rsidR="00924B60" w:rsidRDefault="00924B60" w:rsidP="007B69FB">
            <w:pPr>
              <w:adjustRightInd w:val="0"/>
              <w:snapToGrid w:val="0"/>
              <w:spacing w:line="320" w:lineRule="exact"/>
              <w:rPr>
                <w:rFonts w:ascii="宋体" w:hAnsi="宋体" w:cs="宋体"/>
                <w:sz w:val="20"/>
                <w:szCs w:val="20"/>
                <w:lang w:val="zh-CN"/>
              </w:rPr>
            </w:pPr>
          </w:p>
        </w:tc>
      </w:tr>
    </w:tbl>
    <w:p w14:paraId="4799CFB7" w14:textId="77777777" w:rsidR="00466825" w:rsidRDefault="00466825">
      <w:pPr>
        <w:widowControl/>
        <w:jc w:val="left"/>
        <w:rPr>
          <w:rFonts w:ascii="宋体" w:hAnsi="宋体"/>
          <w:sz w:val="20"/>
          <w:szCs w:val="20"/>
        </w:rPr>
      </w:pPr>
    </w:p>
    <w:p w14:paraId="72C2677C" w14:textId="77777777" w:rsidR="00466825" w:rsidRDefault="00466825"/>
    <w:sectPr w:rsidR="0046682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0C72" w14:textId="77777777" w:rsidR="00B6523F" w:rsidRDefault="00B6523F">
      <w:r>
        <w:separator/>
      </w:r>
    </w:p>
  </w:endnote>
  <w:endnote w:type="continuationSeparator" w:id="0">
    <w:p w14:paraId="6D60B479" w14:textId="77777777" w:rsidR="00B6523F" w:rsidRDefault="00B6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32402" w14:textId="77777777" w:rsidR="00466825" w:rsidRDefault="00467463">
    <w:pPr>
      <w:pStyle w:val="a5"/>
    </w:pPr>
    <w:r>
      <w:rPr>
        <w:noProof/>
      </w:rPr>
      <mc:AlternateContent>
        <mc:Choice Requires="wps">
          <w:drawing>
            <wp:anchor distT="0" distB="0" distL="114300" distR="114300" simplePos="0" relativeHeight="251659264" behindDoc="0" locked="0" layoutInCell="1" allowOverlap="1" wp14:anchorId="6D9F3E74" wp14:editId="112BD35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86DED" w14:textId="77777777" w:rsidR="00466825" w:rsidRDefault="00467463">
                          <w:pPr>
                            <w:pStyle w:val="a5"/>
                          </w:pPr>
                          <w:r>
                            <w:fldChar w:fldCharType="begin"/>
                          </w:r>
                          <w:r>
                            <w:instrText xml:space="preserve"> PAGE  \* MERGEFORMAT </w:instrText>
                          </w:r>
                          <w:r>
                            <w:fldChar w:fldCharType="separate"/>
                          </w:r>
                          <w:r w:rsidR="00F9000D">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9586DED" w14:textId="77777777" w:rsidR="00466825" w:rsidRDefault="00467463">
                    <w:pPr>
                      <w:pStyle w:val="a5"/>
                    </w:pPr>
                    <w:r>
                      <w:fldChar w:fldCharType="begin"/>
                    </w:r>
                    <w:r>
                      <w:instrText xml:space="preserve"> PAGE  \* MERGEFORMAT </w:instrText>
                    </w:r>
                    <w:r>
                      <w:fldChar w:fldCharType="separate"/>
                    </w:r>
                    <w:r w:rsidR="00F9000D">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BD8C8" w14:textId="77777777" w:rsidR="00B6523F" w:rsidRDefault="00B6523F">
      <w:r>
        <w:separator/>
      </w:r>
    </w:p>
  </w:footnote>
  <w:footnote w:type="continuationSeparator" w:id="0">
    <w:p w14:paraId="313E8C0C" w14:textId="77777777" w:rsidR="00B6523F" w:rsidRDefault="00B65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84429"/>
    <w:multiLevelType w:val="multilevel"/>
    <w:tmpl w:val="37784429"/>
    <w:lvl w:ilvl="0">
      <w:start w:val="1"/>
      <w:numFmt w:val="decimal"/>
      <w:lvlText w:val="%1."/>
      <w:lvlJc w:val="left"/>
      <w:pPr>
        <w:ind w:left="210" w:hanging="2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563576"/>
    <w:multiLevelType w:val="multilevel"/>
    <w:tmpl w:val="3E5635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D5E1806"/>
    <w:multiLevelType w:val="multilevel"/>
    <w:tmpl w:val="5D5E180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7B1DDC"/>
    <w:multiLevelType w:val="multilevel"/>
    <w:tmpl w:val="7D7B1DDC"/>
    <w:lvl w:ilvl="0">
      <w:start w:val="1"/>
      <w:numFmt w:val="decimal"/>
      <w:lvlText w:val="%1."/>
      <w:lvlJc w:val="left"/>
      <w:pPr>
        <w:ind w:left="210" w:hanging="2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ODljYTkzZmQwMmZjNWQyYmRjZWFiZTIwMjgxNTEifQ=="/>
  </w:docVars>
  <w:rsids>
    <w:rsidRoot w:val="004C00F3"/>
    <w:rsid w:val="8FB6ED6D"/>
    <w:rsid w:val="97FCF32F"/>
    <w:rsid w:val="BB678A16"/>
    <w:rsid w:val="BF7BBA8D"/>
    <w:rsid w:val="D3FDDADF"/>
    <w:rsid w:val="EFF7851F"/>
    <w:rsid w:val="EFFE4300"/>
    <w:rsid w:val="FDEE8373"/>
    <w:rsid w:val="FEE952EB"/>
    <w:rsid w:val="FFD54E58"/>
    <w:rsid w:val="00051CE8"/>
    <w:rsid w:val="00062A9A"/>
    <w:rsid w:val="000B3A12"/>
    <w:rsid w:val="00130B42"/>
    <w:rsid w:val="00357601"/>
    <w:rsid w:val="00466825"/>
    <w:rsid w:val="00467463"/>
    <w:rsid w:val="004C00F3"/>
    <w:rsid w:val="004E6D06"/>
    <w:rsid w:val="00554836"/>
    <w:rsid w:val="00571215"/>
    <w:rsid w:val="005A108E"/>
    <w:rsid w:val="005C36E1"/>
    <w:rsid w:val="00644467"/>
    <w:rsid w:val="007A0BF7"/>
    <w:rsid w:val="007E6528"/>
    <w:rsid w:val="00924B60"/>
    <w:rsid w:val="009428C8"/>
    <w:rsid w:val="00A46A8E"/>
    <w:rsid w:val="00B36DD3"/>
    <w:rsid w:val="00B6523F"/>
    <w:rsid w:val="00C341B7"/>
    <w:rsid w:val="00D734BE"/>
    <w:rsid w:val="00F47AEC"/>
    <w:rsid w:val="00F9000D"/>
    <w:rsid w:val="15DB28AD"/>
    <w:rsid w:val="1D9C6F52"/>
    <w:rsid w:val="2399557F"/>
    <w:rsid w:val="31E623A8"/>
    <w:rsid w:val="3FFFAAD3"/>
    <w:rsid w:val="46137671"/>
    <w:rsid w:val="4C750C5A"/>
    <w:rsid w:val="529637BA"/>
    <w:rsid w:val="53DF6B3B"/>
    <w:rsid w:val="550E05F9"/>
    <w:rsid w:val="5FEF8789"/>
    <w:rsid w:val="71931651"/>
    <w:rsid w:val="75BDF55B"/>
    <w:rsid w:val="76BD00E7"/>
    <w:rsid w:val="7977649B"/>
    <w:rsid w:val="7BD1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A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2">
    <w:name w:val="heading 2"/>
    <w:next w:val="a"/>
    <w:qFormat/>
    <w:pPr>
      <w:keepNext/>
      <w:keepLines/>
      <w:widowControl w:val="0"/>
      <w:spacing w:before="260" w:after="260" w:line="415" w:lineRule="auto"/>
      <w:jc w:val="both"/>
      <w:outlineLvl w:val="1"/>
    </w:pPr>
    <w:rPr>
      <w:rFonts w:ascii="Arial" w:eastAsia="黑体" w:hAnsi="Arial"/>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Plotter" w:eastAsia="仿宋_GB2312" w:hAnsi="Plotter"/>
      <w:sz w:val="18"/>
      <w:szCs w:val="20"/>
    </w:rPr>
  </w:style>
  <w:style w:type="paragraph" w:styleId="a4">
    <w:name w:val="Body Text Indent"/>
    <w:basedOn w:val="a"/>
    <w:next w:val="20"/>
    <w:qFormat/>
    <w:pPr>
      <w:spacing w:line="360" w:lineRule="auto"/>
      <w:ind w:firstLineChars="200" w:firstLine="600"/>
    </w:pPr>
    <w:rPr>
      <w:rFonts w:ascii="仿宋_GB2312" w:eastAsia="仿宋_GB2312" w:hAnsi="宋体"/>
      <w:sz w:val="30"/>
    </w:rPr>
  </w:style>
  <w:style w:type="paragraph" w:styleId="20">
    <w:name w:val="Body Text First Indent 2"/>
    <w:basedOn w:val="a4"/>
    <w:qFormat/>
    <w:pPr>
      <w:widowControl/>
      <w:spacing w:after="120" w:line="276" w:lineRule="auto"/>
      <w:ind w:leftChars="200" w:left="420" w:firstLine="420"/>
      <w:jc w:val="left"/>
    </w:pPr>
    <w:rPr>
      <w:rFonts w:ascii="Calibri" w:hAnsi="Calibri"/>
      <w:sz w:val="21"/>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pPr>
      <w:spacing w:beforeAutospacing="1" w:afterAutospacing="1"/>
      <w:jc w:val="left"/>
    </w:pPr>
    <w:rPr>
      <w:kern w:val="0"/>
      <w:sz w:val="24"/>
    </w:r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character" w:customStyle="1" w:styleId="font11">
    <w:name w:val="font11"/>
    <w:basedOn w:val="a1"/>
    <w:qFormat/>
    <w:rPr>
      <w:rFonts w:ascii="宋体" w:eastAsia="宋体" w:hAnsi="宋体" w:cs="宋体" w:hint="eastAsia"/>
      <w:b/>
      <w:bCs/>
      <w:color w:val="000000"/>
      <w:sz w:val="28"/>
      <w:szCs w:val="28"/>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Calibri" w:hAnsi="Calibri" w:cs="Calibri"/>
      <w:color w:val="000000"/>
      <w:sz w:val="22"/>
      <w:szCs w:val="22"/>
      <w:u w:val="none"/>
    </w:rPr>
  </w:style>
  <w:style w:type="paragraph" w:customStyle="1" w:styleId="1">
    <w:name w:val="列出段落1"/>
    <w:uiPriority w:val="34"/>
    <w:qFormat/>
    <w:pPr>
      <w:widowControl w:val="0"/>
      <w:ind w:firstLine="420"/>
      <w:jc w:val="both"/>
    </w:pPr>
    <w:rPr>
      <w:rFonts w:ascii="Calibri" w:eastAsia="Calibri" w:hAnsi="Calibri" w:cs="Calibri"/>
      <w:color w:val="000000"/>
      <w:kern w:val="2"/>
      <w:sz w:val="21"/>
      <w:szCs w:val="21"/>
      <w:u w:color="000000"/>
    </w:rPr>
  </w:style>
  <w:style w:type="table" w:customStyle="1" w:styleId="TableNormal">
    <w:name w:val="Table Normal"/>
    <w:qFormat/>
    <w:tblPr>
      <w:tblCellMar>
        <w:top w:w="0" w:type="dxa"/>
        <w:left w:w="0" w:type="dxa"/>
        <w:bottom w:w="0" w:type="dxa"/>
        <w:right w:w="0" w:type="dxa"/>
      </w:tblCellMar>
    </w:tblPr>
  </w:style>
  <w:style w:type="paragraph" w:styleId="a9">
    <w:name w:val="List Paragraph"/>
    <w:basedOn w:val="a"/>
    <w:uiPriority w:val="34"/>
    <w:qFormat/>
    <w:pPr>
      <w:ind w:firstLineChars="200" w:firstLine="420"/>
    </w:pPr>
  </w:style>
  <w:style w:type="paragraph" w:customStyle="1" w:styleId="aa">
    <w:name w:val="无间距"/>
    <w:uiPriority w:val="1"/>
    <w:qFormat/>
    <w:pPr>
      <w:widowControl w:val="0"/>
      <w:jc w:val="both"/>
    </w:pPr>
    <w:rPr>
      <w:kern w:val="2"/>
      <w:sz w:val="21"/>
      <w:szCs w:val="24"/>
    </w:rPr>
  </w:style>
  <w:style w:type="paragraph" w:customStyle="1" w:styleId="ab">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2">
    <w:name w:val="heading 2"/>
    <w:next w:val="a"/>
    <w:qFormat/>
    <w:pPr>
      <w:keepNext/>
      <w:keepLines/>
      <w:widowControl w:val="0"/>
      <w:spacing w:before="260" w:after="260" w:line="415" w:lineRule="auto"/>
      <w:jc w:val="both"/>
      <w:outlineLvl w:val="1"/>
    </w:pPr>
    <w:rPr>
      <w:rFonts w:ascii="Arial" w:eastAsia="黑体" w:hAnsi="Arial"/>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Plotter" w:eastAsia="仿宋_GB2312" w:hAnsi="Plotter"/>
      <w:sz w:val="18"/>
      <w:szCs w:val="20"/>
    </w:rPr>
  </w:style>
  <w:style w:type="paragraph" w:styleId="a4">
    <w:name w:val="Body Text Indent"/>
    <w:basedOn w:val="a"/>
    <w:next w:val="20"/>
    <w:qFormat/>
    <w:pPr>
      <w:spacing w:line="360" w:lineRule="auto"/>
      <w:ind w:firstLineChars="200" w:firstLine="600"/>
    </w:pPr>
    <w:rPr>
      <w:rFonts w:ascii="仿宋_GB2312" w:eastAsia="仿宋_GB2312" w:hAnsi="宋体"/>
      <w:sz w:val="30"/>
    </w:rPr>
  </w:style>
  <w:style w:type="paragraph" w:styleId="20">
    <w:name w:val="Body Text First Indent 2"/>
    <w:basedOn w:val="a4"/>
    <w:qFormat/>
    <w:pPr>
      <w:widowControl/>
      <w:spacing w:after="120" w:line="276" w:lineRule="auto"/>
      <w:ind w:leftChars="200" w:left="420" w:firstLine="420"/>
      <w:jc w:val="left"/>
    </w:pPr>
    <w:rPr>
      <w:rFonts w:ascii="Calibri" w:hAnsi="Calibri"/>
      <w:sz w:val="21"/>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pPr>
      <w:spacing w:beforeAutospacing="1" w:afterAutospacing="1"/>
      <w:jc w:val="left"/>
    </w:pPr>
    <w:rPr>
      <w:kern w:val="0"/>
      <w:sz w:val="24"/>
    </w:r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character" w:customStyle="1" w:styleId="font11">
    <w:name w:val="font11"/>
    <w:basedOn w:val="a1"/>
    <w:qFormat/>
    <w:rPr>
      <w:rFonts w:ascii="宋体" w:eastAsia="宋体" w:hAnsi="宋体" w:cs="宋体" w:hint="eastAsia"/>
      <w:b/>
      <w:bCs/>
      <w:color w:val="000000"/>
      <w:sz w:val="28"/>
      <w:szCs w:val="28"/>
      <w:u w:val="none"/>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31">
    <w:name w:val="font31"/>
    <w:basedOn w:val="a1"/>
    <w:qFormat/>
    <w:rPr>
      <w:rFonts w:ascii="Calibri" w:hAnsi="Calibri" w:cs="Calibri"/>
      <w:color w:val="000000"/>
      <w:sz w:val="22"/>
      <w:szCs w:val="22"/>
      <w:u w:val="none"/>
    </w:rPr>
  </w:style>
  <w:style w:type="paragraph" w:customStyle="1" w:styleId="1">
    <w:name w:val="列出段落1"/>
    <w:uiPriority w:val="34"/>
    <w:qFormat/>
    <w:pPr>
      <w:widowControl w:val="0"/>
      <w:ind w:firstLine="420"/>
      <w:jc w:val="both"/>
    </w:pPr>
    <w:rPr>
      <w:rFonts w:ascii="Calibri" w:eastAsia="Calibri" w:hAnsi="Calibri" w:cs="Calibri"/>
      <w:color w:val="000000"/>
      <w:kern w:val="2"/>
      <w:sz w:val="21"/>
      <w:szCs w:val="21"/>
      <w:u w:color="000000"/>
    </w:rPr>
  </w:style>
  <w:style w:type="table" w:customStyle="1" w:styleId="TableNormal">
    <w:name w:val="Table Normal"/>
    <w:qFormat/>
    <w:tblPr>
      <w:tblCellMar>
        <w:top w:w="0" w:type="dxa"/>
        <w:left w:w="0" w:type="dxa"/>
        <w:bottom w:w="0" w:type="dxa"/>
        <w:right w:w="0" w:type="dxa"/>
      </w:tblCellMar>
    </w:tblPr>
  </w:style>
  <w:style w:type="paragraph" w:styleId="a9">
    <w:name w:val="List Paragraph"/>
    <w:basedOn w:val="a"/>
    <w:uiPriority w:val="34"/>
    <w:qFormat/>
    <w:pPr>
      <w:ind w:firstLineChars="200" w:firstLine="420"/>
    </w:pPr>
  </w:style>
  <w:style w:type="paragraph" w:customStyle="1" w:styleId="aa">
    <w:name w:val="无间距"/>
    <w:uiPriority w:val="1"/>
    <w:qFormat/>
    <w:pPr>
      <w:widowControl w:val="0"/>
      <w:jc w:val="both"/>
    </w:pPr>
    <w:rPr>
      <w:kern w:val="2"/>
      <w:sz w:val="21"/>
      <w:szCs w:val="24"/>
    </w:rPr>
  </w:style>
  <w:style w:type="paragraph" w:customStyle="1" w:styleId="ab">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842</Characters>
  <Application>Microsoft Office Word</Application>
  <DocSecurity>0</DocSecurity>
  <Lines>42</Lines>
  <Paragraphs>40</Paragraphs>
  <ScaleCrop>false</ScaleCrop>
  <Company>Microsoft</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ChenXuan</dc:creator>
  <cp:lastModifiedBy>ZLH</cp:lastModifiedBy>
  <cp:revision>2</cp:revision>
  <dcterms:created xsi:type="dcterms:W3CDTF">2023-11-29T03:10:00Z</dcterms:created>
  <dcterms:modified xsi:type="dcterms:W3CDTF">2023-11-29T03:10:00Z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74F1871BCF2848D2B8756C3397A76DFA_13</vt:lpwstr>
  </property>
</Properties>
</file>